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drawing>
          <wp:inline xmlns:a="http://schemas.openxmlformats.org/drawingml/2006/main" xmlns:pic="http://schemas.openxmlformats.org/drawingml/2006/picture">
            <wp:extent cx="6764020" cy="61912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a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6191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rFonts w:ascii="Golos Text" w:hAnsi="Golos Text"/>
          <w:b/>
          <w:sz w:val="27"/>
        </w:rPr>
        <w:t>Опросный лист на проектирование очистных сооружений</w:t>
        <w:br/>
        <w:t>производственных и хозяйственно-бытовых стоков (КОС)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C9CDD2"/>
          <w:left w:val="single" w:sz="4" w:color="C9CDD2"/>
          <w:bottom w:val="single" w:sz="4" w:color="C9CDD2"/>
          <w:right w:val="single" w:sz="4" w:color="C9CDD2"/>
          <w:insideH w:val="single" w:sz="4" w:color="C9CDD2"/>
          <w:insideV w:val="single" w:sz="4" w:color="C9CDD2"/>
        </w:tblBorders>
      </w:tblPr>
      <w:tblGrid>
        <w:gridCol w:w="3515"/>
        <w:gridCol w:w="6576"/>
      </w:tblGrid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Организация (Заказчик)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Организация (Проектировщик)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Контактное лицо, должность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Телефон / e-mail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Расположение объекта</w:t>
            </w:r>
          </w:p>
        </w:tc>
        <w:tc>
          <w:tcPr>
            <w:tcW w:type="dxa" w:w="6576"/>
          </w:tcPr>
          <w:p/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Статус объекта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проект, реконструкция, действующий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Наличие экспертизы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гос., негос., водоканал, др.</w:t>
            </w:r>
          </w:p>
        </w:tc>
      </w:tr>
    </w:tbl>
    <w:p>
      <w:pPr>
        <w:spacing w:after="8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9CDD2"/>
          <w:left w:val="single" w:sz="4" w:color="C9CDD2"/>
          <w:bottom w:val="single" w:sz="4" w:color="C9CDD2"/>
          <w:right w:val="single" w:sz="4" w:color="C9CDD2"/>
          <w:insideH w:val="single" w:sz="4" w:color="C9CDD2"/>
          <w:insideV w:val="single" w:sz="4" w:color="C9CDD2"/>
        </w:tblBorders>
      </w:tblPr>
      <w:tblGrid>
        <w:gridCol w:w="10652"/>
      </w:tblGrid>
      <w:tr>
        <w:tc>
          <w:tcPr>
            <w:tcW w:type="dxa" w:w="10652"/>
            <w:shd w:val="clear" w:fill="FFDF36"/>
          </w:tcPr>
          <w:p>
            <w:r/>
            <w:r>
              <w:rPr>
                <w:rFonts w:ascii="Golos Text" w:hAnsi="Golos Text"/>
                <w:b/>
                <w:sz w:val="19"/>
              </w:rPr>
              <w:t>Параметры системы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DD2"/>
          <w:left w:val="single" w:sz="4" w:color="C9CDD2"/>
          <w:bottom w:val="single" w:sz="4" w:color="C9CDD2"/>
          <w:right w:val="single" w:sz="4" w:color="C9CDD2"/>
          <w:insideH w:val="single" w:sz="4" w:color="C9CDD2"/>
          <w:insideV w:val="single" w:sz="4" w:color="C9CDD2"/>
        </w:tblBorders>
      </w:tblPr>
      <w:tblGrid>
        <w:gridCol w:w="5326"/>
        <w:gridCol w:w="5326"/>
      </w:tblGrid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Расположение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надземное / подземное / комбинированное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Тип стоков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хозяйственно-бытовые / производственные / смешанные / поверхностные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Производительность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Q сут, м³/сут:                    q час.ср, м³/час:                    Q час.max, м³/час: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Режим поступления стоков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самотечный / напорный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Условия сброса очищенной воды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в сети / в водный объект / в водоём рыбохозяйственного значения / на рельеф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Требуемое качество очистки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норматив сброса или ссылка на технические условия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Обработка осадка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обезвоживание, накопление, вывоз — нужное указать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Электроснабжение площадки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категория надёжности, доступная мощность</w:t>
            </w:r>
          </w:p>
        </w:tc>
      </w:tr>
      <w:tr>
        <w:tc>
          <w:tcPr>
            <w:tcW w:type="dxa" w:w="3515"/>
            <w:shd w:val="clear" w:fill="F2F3F5"/>
          </w:tcPr>
          <w:p>
            <w:r/>
            <w:r>
              <w:rPr>
                <w:rFonts w:ascii="Golos Text" w:hAnsi="Golos Text"/>
                <w:b w:val="0"/>
                <w:sz w:val="19"/>
              </w:rPr>
              <w:t>Климатические условия</w:t>
            </w:r>
          </w:p>
        </w:tc>
        <w:tc>
          <w:tcPr>
            <w:tcW w:type="dxa" w:w="6576"/>
          </w:tcPr>
          <w:p>
            <w:r/>
            <w:r>
              <w:rPr>
                <w:rFonts w:ascii="Golos Text" w:hAnsi="Golos Text"/>
                <w:b w:val="0"/>
                <w:color w:val="90959B"/>
                <w:sz w:val="16"/>
              </w:rPr>
              <w:t>регион, расчётная температура, наличие подтопления</w:t>
            </w:r>
          </w:p>
        </w:tc>
      </w:tr>
    </w:tbl>
    <w:p>
      <w:pPr>
        <w:spacing w:before="160"/>
      </w:pPr>
      <w:r>
        <w:rPr>
          <w:rFonts w:ascii="Golos Text" w:hAnsi="Golos Text"/>
          <w:b/>
          <w:sz w:val="19"/>
        </w:rPr>
        <w:t>Для подбора решения обязательно приложите протоколы анализа сточных вод.</w:t>
      </w:r>
    </w:p>
    <w:p>
      <w:pPr>
        <w:spacing w:after="200"/>
      </w:pPr>
      <w:r>
        <w:rPr>
          <w:rFonts w:ascii="Golos Text" w:hAnsi="Golos Text"/>
          <w:color w:val="60666C"/>
          <w:sz w:val="18"/>
        </w:rPr>
        <w:t>Если анализа нет — укажите состав стоков и производство-источник, подберём схему по аналогам.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9CDD2"/>
          <w:left w:val="single" w:sz="4" w:color="C9CDD2"/>
          <w:bottom w:val="single" w:sz="4" w:color="C9CDD2"/>
          <w:right w:val="single" w:sz="4" w:color="C9CDD2"/>
          <w:insideH w:val="single" w:sz="4" w:color="C9CDD2"/>
          <w:insideV w:val="single" w:sz="4" w:color="C9CDD2"/>
        </w:tblBorders>
      </w:tblPr>
      <w:tblGrid>
        <w:gridCol w:w="10652"/>
      </w:tblGrid>
      <w:tr>
        <w:tc>
          <w:tcPr>
            <w:tcW w:type="dxa" w:w="10652"/>
            <w:shd w:val="clear" w:fill="FFDF36"/>
          </w:tcPr>
          <w:p>
            <w:r/>
            <w:r>
              <w:rPr>
                <w:rFonts w:ascii="Golos Text" w:hAnsi="Golos Text"/>
                <w:b/>
                <w:sz w:val="19"/>
              </w:rPr>
              <w:t>Примечания</w:t>
            </w:r>
          </w:p>
        </w:tc>
      </w:tr>
      <w:tr>
        <w:trPr>
          <w:trHeight w:hRule="atLeast" w:val="3685"/>
        </w:trPr>
        <w:tc>
          <w:tcPr>
            <w:tcW w:type="dxa" w:w="10652"/>
          </w:tcPr>
          <w:p>
            <w:r/>
            <w:r>
              <w:rPr>
                <w:rFonts w:ascii="Golos Text" w:hAnsi="Golos Text"/>
                <w:b w:val="0"/>
                <w:sz w:val="19"/>
              </w:rPr>
            </w:r>
          </w:p>
        </w:tc>
      </w:tr>
    </w:tbl>
    <w:p>
      <w:pPr>
        <w:spacing w:before="280"/>
      </w:pPr>
      <w:r>
        <w:rPr>
          <w:rFonts w:ascii="Golos Text" w:hAnsi="Golos Text"/>
          <w:color w:val="60666C"/>
          <w:sz w:val="18"/>
        </w:rPr>
        <w:t>Заполненный лист пришлите в ответ на письмо или на почту проектного отдела — вернём технико-коммерческое предложение с составом разделов, сроками и стоимостью.</w:t>
      </w:r>
    </w:p>
    <w:sectPr w:rsidR="00FC693F" w:rsidRPr="0006063C" w:rsidSect="00034616">
      <w:footerReference w:type="default" r:id="rId10"/>
      <w:pgSz w:w="12240" w:h="15840"/>
      <w:pgMar w:top="454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6764020" cy="49731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oo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64020" cy="49731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olos Text" w:hAnsi="Golos Text" w:eastAsia="Golos Text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проектирование очистных сооружений (КОС)</dc:title>
  <dc:subject/>
  <dc:creator>ООО ЗКМ «РусАрм»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